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460E4" w14:textId="5F2F8362" w:rsidR="001F5AD6" w:rsidRPr="00F41D54" w:rsidRDefault="00F41D54" w:rsidP="00F41D54">
      <w:pPr>
        <w:suppressAutoHyphens/>
        <w:overflowPunct/>
        <w:autoSpaceDE/>
        <w:autoSpaceDN/>
        <w:adjustRightInd/>
        <w:spacing w:before="120"/>
        <w:jc w:val="right"/>
        <w:textAlignment w:val="auto"/>
        <w:rPr>
          <w:b/>
          <w:bCs/>
          <w:iCs/>
          <w:color w:val="244061" w:themeColor="accent1" w:themeShade="80"/>
          <w:sz w:val="24"/>
          <w:szCs w:val="24"/>
          <w:lang w:eastAsia="ar-SA"/>
        </w:rPr>
      </w:pPr>
      <w:r w:rsidRPr="00F41D54">
        <w:rPr>
          <w:b/>
          <w:bCs/>
          <w:iCs/>
          <w:color w:val="244061" w:themeColor="accent1" w:themeShade="80"/>
          <w:sz w:val="24"/>
          <w:szCs w:val="24"/>
          <w:lang w:eastAsia="ar-SA"/>
        </w:rPr>
        <w:t>All. 6</w:t>
      </w:r>
    </w:p>
    <w:p w14:paraId="02E5AD39" w14:textId="77777777" w:rsidR="001F5AD6" w:rsidRPr="00656B34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color w:val="244061" w:themeColor="accent1" w:themeShade="80"/>
          <w:sz w:val="24"/>
          <w:szCs w:val="24"/>
          <w:lang w:eastAsia="ar-SA"/>
        </w:rPr>
      </w:pPr>
    </w:p>
    <w:p w14:paraId="4033257F" w14:textId="609E996D" w:rsidR="001F5AD6" w:rsidRPr="00656B34" w:rsidRDefault="001F5AD6" w:rsidP="001F5AD6">
      <w:pPr>
        <w:suppressAutoHyphens/>
        <w:overflowPunct/>
        <w:autoSpaceDE/>
        <w:autoSpaceDN/>
        <w:adjustRightInd/>
        <w:spacing w:before="120"/>
        <w:jc w:val="center"/>
        <w:textAlignment w:val="auto"/>
        <w:rPr>
          <w:color w:val="244061" w:themeColor="accent1" w:themeShade="80"/>
          <w:sz w:val="24"/>
          <w:szCs w:val="24"/>
          <w:lang w:eastAsia="ar-SA"/>
        </w:rPr>
      </w:pPr>
      <w:r w:rsidRPr="00656B34">
        <w:rPr>
          <w:b/>
          <w:color w:val="244061" w:themeColor="accent1" w:themeShade="80"/>
          <w:sz w:val="28"/>
          <w:szCs w:val="28"/>
          <w:lang w:eastAsia="ar-SA"/>
        </w:rPr>
        <w:t>Patto di Integrità</w:t>
      </w:r>
    </w:p>
    <w:p w14:paraId="05324A8C" w14:textId="77777777" w:rsidR="001F5AD6" w:rsidRPr="00656B34" w:rsidRDefault="001F5AD6" w:rsidP="001F5AD6">
      <w:pPr>
        <w:jc w:val="center"/>
        <w:rPr>
          <w:rFonts w:ascii="Garamond" w:hAnsi="Garamond"/>
          <w:b/>
          <w:bCs/>
          <w:color w:val="244061" w:themeColor="accent1" w:themeShade="80"/>
          <w:sz w:val="28"/>
          <w:szCs w:val="28"/>
        </w:rPr>
      </w:pPr>
    </w:p>
    <w:p w14:paraId="75629A13" w14:textId="77777777" w:rsidR="001F5AD6" w:rsidRPr="00656B34" w:rsidRDefault="001F5AD6" w:rsidP="001F5AD6">
      <w:pPr>
        <w:jc w:val="center"/>
        <w:rPr>
          <w:rFonts w:ascii="Garamond" w:hAnsi="Garamond"/>
          <w:b/>
          <w:bCs/>
          <w:color w:val="244061" w:themeColor="accent1" w:themeShade="80"/>
          <w:sz w:val="28"/>
          <w:szCs w:val="28"/>
        </w:rPr>
      </w:pPr>
    </w:p>
    <w:p w14:paraId="62BDB41A" w14:textId="77777777" w:rsidR="001F5AD6" w:rsidRPr="00656B34" w:rsidRDefault="001F5AD6" w:rsidP="001F5AD6">
      <w:pPr>
        <w:jc w:val="center"/>
        <w:rPr>
          <w:b/>
          <w:bCs/>
          <w:color w:val="244061" w:themeColor="accent1" w:themeShade="80"/>
          <w:sz w:val="28"/>
          <w:szCs w:val="28"/>
        </w:rPr>
      </w:pPr>
    </w:p>
    <w:p w14:paraId="22B32430" w14:textId="77777777" w:rsidR="001F5AD6" w:rsidRPr="00656B34" w:rsidRDefault="001F5AD6" w:rsidP="001F5AD6">
      <w:pPr>
        <w:jc w:val="both"/>
        <w:rPr>
          <w:rFonts w:ascii="Garamond" w:hAnsi="Garamond"/>
          <w:b/>
          <w:bCs/>
          <w:color w:val="244061" w:themeColor="accent1" w:themeShade="80"/>
        </w:rPr>
      </w:pPr>
      <w:r w:rsidRPr="00656B34">
        <w:rPr>
          <w:rFonts w:ascii="Garamond" w:hAnsi="Garamond"/>
          <w:b/>
          <w:bCs/>
          <w:color w:val="244061" w:themeColor="accent1" w:themeShade="80"/>
        </w:rPr>
        <w:t xml:space="preserve">relativo a (estremi della gara) </w:t>
      </w:r>
    </w:p>
    <w:p w14:paraId="47E9CD74" w14:textId="723EEC37" w:rsidR="0016741C" w:rsidRPr="0016741C" w:rsidRDefault="0016741C" w:rsidP="0016741C">
      <w:pPr>
        <w:widowControl w:val="0"/>
        <w:overflowPunct/>
        <w:autoSpaceDE/>
        <w:autoSpaceDN/>
        <w:spacing w:after="120" w:line="3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Trattativa diretta per l’affidamento </w:t>
      </w:r>
      <w:bookmarkStart w:id="0" w:name="_Hlk114659311"/>
      <w:bookmarkStart w:id="1" w:name="_Hlk113989825"/>
      <w:bookmarkStart w:id="2" w:name="_Hlk88492261"/>
      <w:r>
        <w:rPr>
          <w:rFonts w:asciiTheme="minorHAnsi" w:hAnsiTheme="minorHAnsi" w:cstheme="minorHAnsi"/>
          <w:b/>
          <w:sz w:val="22"/>
          <w:szCs w:val="22"/>
        </w:rPr>
        <w:t>della fornitura di</w:t>
      </w:r>
      <w:r w:rsidRPr="0016741C">
        <w:rPr>
          <w:rFonts w:asciiTheme="minorHAnsi" w:hAnsiTheme="minorHAnsi" w:cstheme="minorHAnsi"/>
          <w:b/>
          <w:sz w:val="22"/>
          <w:szCs w:val="22"/>
        </w:rPr>
        <w:t xml:space="preserve"> DOTAZIONI DIGITALI, nell’ambito della Missione 4 – Componente 1 – Investimento 3.2 del PNRR, finanziato dall’Unione europea – </w:t>
      </w:r>
      <w:r w:rsidRPr="0016741C">
        <w:rPr>
          <w:rFonts w:asciiTheme="minorHAnsi" w:hAnsiTheme="minorHAnsi" w:cstheme="minorHAnsi"/>
          <w:b/>
          <w:i/>
          <w:iCs/>
          <w:sz w:val="22"/>
          <w:szCs w:val="22"/>
        </w:rPr>
        <w:t>Next Generation EU</w:t>
      </w:r>
    </w:p>
    <w:bookmarkEnd w:id="0"/>
    <w:bookmarkEnd w:id="1"/>
    <w:p w14:paraId="6F7BC370" w14:textId="3983BD81" w:rsidR="0016741C" w:rsidRPr="0016741C" w:rsidRDefault="0016741C" w:rsidP="0016741C">
      <w:pPr>
        <w:widowControl w:val="0"/>
        <w:overflowPunct/>
        <w:autoSpaceDE/>
        <w:autoSpaceDN/>
        <w:spacing w:after="120" w:line="36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6741C">
        <w:rPr>
          <w:rFonts w:asciiTheme="minorHAnsi" w:hAnsiTheme="minorHAnsi" w:cstheme="minorHAnsi"/>
          <w:b/>
          <w:bCs/>
          <w:sz w:val="22"/>
          <w:szCs w:val="22"/>
        </w:rPr>
        <w:t xml:space="preserve">C.I.G.: </w:t>
      </w:r>
      <w:r w:rsidRPr="0016741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C5F33">
        <w:rPr>
          <w:rFonts w:ascii="Calibri" w:hAnsi="Calibri" w:cs="Calibri"/>
          <w:b/>
          <w:bCs/>
          <w:color w:val="000000"/>
          <w:sz w:val="22"/>
          <w:szCs w:val="22"/>
        </w:rPr>
        <w:t>A0152402CD</w:t>
      </w:r>
    </w:p>
    <w:p w14:paraId="7A0599E4" w14:textId="77777777" w:rsidR="0016741C" w:rsidRPr="0016741C" w:rsidRDefault="0016741C" w:rsidP="0016741C">
      <w:pPr>
        <w:widowControl w:val="0"/>
        <w:overflowPunct/>
        <w:autoSpaceDE/>
        <w:autoSpaceDN/>
        <w:spacing w:after="120" w:line="36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6741C">
        <w:rPr>
          <w:rFonts w:asciiTheme="minorHAnsi" w:hAnsiTheme="minorHAnsi" w:cstheme="minorHAnsi"/>
          <w:b/>
          <w:bCs/>
          <w:sz w:val="22"/>
          <w:szCs w:val="22"/>
        </w:rPr>
        <w:t xml:space="preserve">CUP: </w:t>
      </w:r>
      <w:r w:rsidRPr="0016741C">
        <w:rPr>
          <w:rFonts w:asciiTheme="minorHAnsi" w:hAnsiTheme="minorHAnsi" w:cstheme="minorHAnsi"/>
          <w:b/>
          <w:sz w:val="22"/>
          <w:szCs w:val="22"/>
        </w:rPr>
        <w:t xml:space="preserve"> I84D23000460006</w:t>
      </w:r>
      <w:r w:rsidRPr="0016741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bookmarkEnd w:id="2"/>
    <w:p w14:paraId="4D7FF7A4" w14:textId="2D3AE82D" w:rsidR="001F5AD6" w:rsidRPr="00656B34" w:rsidRDefault="001F5AD6" w:rsidP="001F5AD6">
      <w:pPr>
        <w:jc w:val="both"/>
        <w:rPr>
          <w:rFonts w:ascii="Garamond" w:hAnsi="Garamond"/>
          <w:b/>
          <w:bCs/>
          <w:color w:val="244061" w:themeColor="accent1" w:themeShade="80"/>
        </w:rPr>
      </w:pPr>
      <w:r w:rsidRPr="00656B34">
        <w:rPr>
          <w:rFonts w:ascii="Garamond" w:hAnsi="Garamond"/>
          <w:b/>
          <w:bCs/>
          <w:color w:val="244061" w:themeColor="accent1" w:themeShade="80"/>
        </w:rPr>
        <w:t>…………………………………………………………………………………………………………</w:t>
      </w:r>
    </w:p>
    <w:p w14:paraId="414C1CE1" w14:textId="77777777" w:rsidR="001F5AD6" w:rsidRPr="00656B34" w:rsidRDefault="001F5AD6" w:rsidP="001F5AD6">
      <w:pPr>
        <w:jc w:val="both"/>
        <w:rPr>
          <w:rFonts w:ascii="Garamond" w:hAnsi="Garamond"/>
          <w:b/>
          <w:bCs/>
          <w:color w:val="244061" w:themeColor="accent1" w:themeShade="80"/>
        </w:rPr>
      </w:pPr>
    </w:p>
    <w:p w14:paraId="1FFCB676" w14:textId="77777777" w:rsidR="001F5AD6" w:rsidRPr="00656B34" w:rsidRDefault="001F5AD6" w:rsidP="001F5AD6">
      <w:pPr>
        <w:jc w:val="center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tra</w:t>
      </w:r>
    </w:p>
    <w:p w14:paraId="3CF094B9" w14:textId="77777777" w:rsidR="001F5AD6" w:rsidRPr="00656B34" w:rsidRDefault="001F5AD6" w:rsidP="001F5AD6">
      <w:pPr>
        <w:jc w:val="center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il/la …….(stazione appaltante)……</w:t>
      </w:r>
    </w:p>
    <w:p w14:paraId="74865E76" w14:textId="77777777" w:rsidR="001F5AD6" w:rsidRPr="00656B34" w:rsidRDefault="001F5AD6" w:rsidP="001F5AD6">
      <w:pPr>
        <w:jc w:val="center"/>
        <w:rPr>
          <w:rFonts w:ascii="Garamond" w:hAnsi="Garamond"/>
          <w:color w:val="244061" w:themeColor="accent1" w:themeShade="80"/>
        </w:rPr>
      </w:pPr>
    </w:p>
    <w:p w14:paraId="61E2CC3A" w14:textId="77777777" w:rsidR="001F5AD6" w:rsidRPr="00656B34" w:rsidRDefault="001F5AD6" w:rsidP="001F5AD6">
      <w:pPr>
        <w:jc w:val="center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e</w:t>
      </w:r>
    </w:p>
    <w:p w14:paraId="54C1B48C" w14:textId="77777777" w:rsidR="001F5AD6" w:rsidRPr="00656B34" w:rsidRDefault="001F5AD6" w:rsidP="001F5AD6">
      <w:pPr>
        <w:jc w:val="center"/>
        <w:rPr>
          <w:rFonts w:ascii="Garamond" w:hAnsi="Garamond"/>
          <w:color w:val="244061" w:themeColor="accent1" w:themeShade="80"/>
        </w:rPr>
      </w:pPr>
    </w:p>
    <w:p w14:paraId="263832C8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la Ditta …………………..…………………………………………. (di seguito denominata Ditta),</w:t>
      </w:r>
    </w:p>
    <w:p w14:paraId="5500E6EA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sede legale in ………………………….., via ………………………………………….……n…….</w:t>
      </w:r>
    </w:p>
    <w:p w14:paraId="1EA78B0F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codice fiscale/P.IVA ……………………….………., rappresentata da ……………………………..</w:t>
      </w:r>
    </w:p>
    <w:p w14:paraId="1C8E6F15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……………………………….... in qualità di ………..……………………………………………..</w:t>
      </w:r>
    </w:p>
    <w:p w14:paraId="1F4827B0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14:paraId="2E27411D" w14:textId="77777777" w:rsidR="001F5AD6" w:rsidRPr="00656B34" w:rsidRDefault="001F5AD6" w:rsidP="001F5AD6">
      <w:pPr>
        <w:jc w:val="both"/>
        <w:rPr>
          <w:rFonts w:ascii="Garamond" w:hAnsi="Garamond"/>
          <w:b/>
          <w:bCs/>
          <w:i/>
          <w:iCs/>
          <w:color w:val="244061" w:themeColor="accent1" w:themeShade="80"/>
        </w:rPr>
      </w:pPr>
      <w:r w:rsidRPr="00656B34">
        <w:rPr>
          <w:rFonts w:ascii="Garamond" w:hAnsi="Garamond"/>
          <w:b/>
          <w:bCs/>
          <w:i/>
          <w:iCs/>
          <w:color w:val="244061" w:themeColor="accent1" w:themeShade="80"/>
        </w:rPr>
        <w:t>Il presente documento deve essere obbligatoriamente sottoscritto e presentato insieme all’offerta da ciascun partecipante alla gara in oggetto. La mancata consegna del presente documento debitamente sottoscritto comporterà l’esclusione automatica dalla gara.</w:t>
      </w:r>
    </w:p>
    <w:p w14:paraId="32F9B586" w14:textId="77777777" w:rsidR="001F5AD6" w:rsidRPr="00656B34" w:rsidRDefault="001F5AD6" w:rsidP="001F5AD6">
      <w:pPr>
        <w:jc w:val="both"/>
        <w:rPr>
          <w:rFonts w:ascii="Garamond" w:hAnsi="Garamond"/>
          <w:b/>
          <w:bCs/>
          <w:i/>
          <w:iCs/>
          <w:color w:val="244061" w:themeColor="accent1" w:themeShade="80"/>
        </w:rPr>
      </w:pPr>
    </w:p>
    <w:p w14:paraId="30B5B42A" w14:textId="77777777" w:rsidR="001F5AD6" w:rsidRPr="00656B34" w:rsidRDefault="001F5AD6" w:rsidP="001F5AD6">
      <w:pPr>
        <w:jc w:val="center"/>
        <w:rPr>
          <w:rFonts w:ascii="Garamond" w:hAnsi="Garamond"/>
          <w:b/>
          <w:bCs/>
          <w:color w:val="244061" w:themeColor="accent1" w:themeShade="80"/>
        </w:rPr>
      </w:pPr>
      <w:r w:rsidRPr="00656B34">
        <w:rPr>
          <w:rFonts w:ascii="Garamond" w:hAnsi="Garamond"/>
          <w:b/>
          <w:bCs/>
          <w:color w:val="244061" w:themeColor="accent1" w:themeShade="80"/>
        </w:rPr>
        <w:t>VISTO</w:t>
      </w:r>
    </w:p>
    <w:p w14:paraId="45CD8AF8" w14:textId="77777777" w:rsidR="001F5AD6" w:rsidRPr="00656B34" w:rsidRDefault="001F5AD6" w:rsidP="001F5AD6">
      <w:pPr>
        <w:jc w:val="center"/>
        <w:rPr>
          <w:rFonts w:ascii="Garamond" w:hAnsi="Garamond"/>
          <w:b/>
          <w:bCs/>
          <w:color w:val="244061" w:themeColor="accent1" w:themeShade="80"/>
        </w:rPr>
      </w:pPr>
    </w:p>
    <w:p w14:paraId="79593284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- La legge 6 novembre 2012 n. 190, art. 1, comma 17 recante “Disposizioni per la prevenzione e la repressione della corruzione e dell'illegalità nella pubblica amministrazione”;</w:t>
      </w:r>
    </w:p>
    <w:p w14:paraId="6DF3FDC4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- il Piano Nazionale Anticorruzione (P.N.A.) emanato dall’Autorità Nazionale AntiCorruzione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14:paraId="445B464F" w14:textId="2999079D" w:rsidR="001F5AD6" w:rsidRPr="00656B34" w:rsidRDefault="001F5AD6" w:rsidP="001F5AD6">
      <w:pPr>
        <w:rPr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 xml:space="preserve">- il Piano Triennale per la Prevenzione della Corruzione e della Trasparenza </w:t>
      </w:r>
      <w:r w:rsidR="00F41D54">
        <w:rPr>
          <w:rFonts w:ascii="Garamond" w:hAnsi="Garamond"/>
          <w:color w:val="244061" w:themeColor="accent1" w:themeShade="80"/>
        </w:rPr>
        <w:t>202</w:t>
      </w:r>
      <w:r w:rsidR="00D703E7">
        <w:rPr>
          <w:rFonts w:ascii="Garamond" w:hAnsi="Garamond"/>
          <w:color w:val="244061" w:themeColor="accent1" w:themeShade="80"/>
        </w:rPr>
        <w:t>1</w:t>
      </w:r>
      <w:r w:rsidR="00F41D54">
        <w:rPr>
          <w:rFonts w:ascii="Garamond" w:hAnsi="Garamond"/>
          <w:color w:val="244061" w:themeColor="accent1" w:themeShade="80"/>
        </w:rPr>
        <w:t>-202</w:t>
      </w:r>
      <w:r w:rsidR="00D703E7">
        <w:rPr>
          <w:rFonts w:ascii="Garamond" w:hAnsi="Garamond"/>
          <w:color w:val="244061" w:themeColor="accent1" w:themeShade="80"/>
        </w:rPr>
        <w:t>3</w:t>
      </w:r>
      <w:r w:rsidRPr="00656B34">
        <w:rPr>
          <w:rFonts w:ascii="Garamond" w:hAnsi="Garamond"/>
          <w:color w:val="244061" w:themeColor="accent1" w:themeShade="80"/>
        </w:rPr>
        <w:t xml:space="preserve"> per le Istituzioni Scolastiche della Regione Lazio, adottato con decreto ministeriale n. </w:t>
      </w:r>
    </w:p>
    <w:p w14:paraId="7CA51325" w14:textId="77777777" w:rsidR="001F5AD6" w:rsidRPr="00656B34" w:rsidRDefault="001F5AD6" w:rsidP="001F5AD6">
      <w:pPr>
        <w:jc w:val="both"/>
        <w:rPr>
          <w:b/>
          <w:color w:val="244061" w:themeColor="accent1" w:themeShade="80"/>
          <w:sz w:val="24"/>
          <w:szCs w:val="24"/>
        </w:rPr>
      </w:pPr>
      <w:r w:rsidRPr="00656B34">
        <w:rPr>
          <w:rFonts w:ascii="Garamond" w:hAnsi="Garamond"/>
          <w:color w:val="244061" w:themeColor="accent1" w:themeShade="80"/>
        </w:rPr>
        <w:t>- il decreto del Presidente della Repubblica 16 aprile 2013, n. 62 con il quale è stato emanato il “Regolamento recante il codice di comportamento dei dipendenti pubblici”,</w:t>
      </w:r>
      <w:r w:rsidRPr="00656B34">
        <w:rPr>
          <w:b/>
          <w:color w:val="244061" w:themeColor="accent1" w:themeShade="80"/>
          <w:sz w:val="24"/>
          <w:szCs w:val="24"/>
        </w:rPr>
        <w:t xml:space="preserve"> </w:t>
      </w:r>
    </w:p>
    <w:p w14:paraId="63DC7976" w14:textId="77777777" w:rsidR="001F5AD6" w:rsidRPr="00656B34" w:rsidRDefault="001F5AD6" w:rsidP="001F5AD6">
      <w:pPr>
        <w:jc w:val="both"/>
        <w:rPr>
          <w:b/>
          <w:color w:val="244061" w:themeColor="accent1" w:themeShade="80"/>
          <w:sz w:val="24"/>
          <w:szCs w:val="24"/>
        </w:rPr>
      </w:pPr>
    </w:p>
    <w:p w14:paraId="1C2C89FF" w14:textId="77777777" w:rsidR="001F5AD6" w:rsidRPr="00656B34" w:rsidRDefault="001F5AD6" w:rsidP="001F5AD6">
      <w:pPr>
        <w:jc w:val="both"/>
        <w:rPr>
          <w:b/>
          <w:color w:val="244061" w:themeColor="accent1" w:themeShade="80"/>
          <w:sz w:val="24"/>
          <w:szCs w:val="24"/>
        </w:rPr>
      </w:pPr>
    </w:p>
    <w:p w14:paraId="73B6C537" w14:textId="77777777" w:rsidR="001F5AD6" w:rsidRPr="00656B34" w:rsidRDefault="001F5AD6" w:rsidP="001F5AD6">
      <w:pPr>
        <w:jc w:val="center"/>
        <w:rPr>
          <w:rFonts w:ascii="Garamond" w:hAnsi="Garamond"/>
          <w:b/>
          <w:bCs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 xml:space="preserve">- </w:t>
      </w:r>
      <w:r w:rsidRPr="00656B34">
        <w:rPr>
          <w:rFonts w:ascii="Garamond" w:hAnsi="Garamond"/>
          <w:b/>
          <w:bCs/>
          <w:color w:val="244061" w:themeColor="accent1" w:themeShade="80"/>
        </w:rPr>
        <w:t>SI CONVIENE QUANTO SEGUE</w:t>
      </w:r>
    </w:p>
    <w:p w14:paraId="45B8B70E" w14:textId="77777777" w:rsidR="001F5AD6" w:rsidRPr="00656B34" w:rsidRDefault="001F5AD6" w:rsidP="001F5AD6">
      <w:pPr>
        <w:jc w:val="center"/>
        <w:rPr>
          <w:rFonts w:ascii="Garamond" w:hAnsi="Garamond"/>
          <w:b/>
          <w:bCs/>
          <w:color w:val="244061" w:themeColor="accent1" w:themeShade="80"/>
        </w:rPr>
      </w:pPr>
    </w:p>
    <w:p w14:paraId="5A537976" w14:textId="77777777" w:rsidR="001F5AD6" w:rsidRPr="00656B34" w:rsidRDefault="001F5AD6" w:rsidP="001F5AD6">
      <w:pPr>
        <w:jc w:val="center"/>
        <w:rPr>
          <w:rFonts w:ascii="Garamond" w:hAnsi="Garamond"/>
          <w:b/>
          <w:bCs/>
          <w:color w:val="244061" w:themeColor="accent1" w:themeShade="80"/>
        </w:rPr>
      </w:pPr>
      <w:r w:rsidRPr="00656B34">
        <w:rPr>
          <w:rFonts w:ascii="Garamond" w:hAnsi="Garamond"/>
          <w:b/>
          <w:bCs/>
          <w:color w:val="244061" w:themeColor="accent1" w:themeShade="80"/>
        </w:rPr>
        <w:t>Articolo 1</w:t>
      </w:r>
    </w:p>
    <w:p w14:paraId="4F679ADA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14:paraId="54AC881E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 xml:space="preserve">Il presente Patto d’integrità stabilisce la formale obbligazione della Ditta che, ai fini della partecipazione alla gara in oggetto, si impegna: </w:t>
      </w:r>
    </w:p>
    <w:p w14:paraId="79EEC874" w14:textId="77777777" w:rsidR="001F5AD6" w:rsidRPr="00656B34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588CF703" w14:textId="77777777" w:rsidR="001F5AD6" w:rsidRPr="00656B34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32ED0515" w14:textId="77777777" w:rsidR="001F5AD6" w:rsidRPr="00656B34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ad assicurare di non trovarsi in situazioni di controllo o di collegamento (formale e/o sostanziale) con altri concorrenti e che non si è accordata e non si accorderà con altri partecipanti alla gara;</w:t>
      </w:r>
    </w:p>
    <w:p w14:paraId="49E8CC0C" w14:textId="77777777" w:rsidR="001F5AD6" w:rsidRPr="00656B34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lastRenderedPageBreak/>
        <w:t>ad informare puntualmente tutto il personale, di cui si avvale, del presente Patto di integrità e degli obblighi in esso contenuti;</w:t>
      </w:r>
    </w:p>
    <w:p w14:paraId="02E8C4E6" w14:textId="77777777" w:rsidR="001F5AD6" w:rsidRPr="00656B34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a vigilare affinché gli impegni sopra indicati siano osservati da tutti i collaboratori e dipendenti nell’esercizio dei compiti loro assegnati;</w:t>
      </w:r>
    </w:p>
    <w:p w14:paraId="36D66B8B" w14:textId="77777777" w:rsidR="001F5AD6" w:rsidRPr="00656B34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a denunciare alla Pubblica Autorità competente ogni irregolarità o distorsione di cui sia venuta a conoscenza per quanto attiene l’attività di cui all’oggetto della gara in causa.</w:t>
      </w:r>
    </w:p>
    <w:p w14:paraId="5AE891FB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14:paraId="27353CE7" w14:textId="77777777" w:rsidR="001F5AD6" w:rsidRPr="00656B34" w:rsidRDefault="001F5AD6" w:rsidP="001F5AD6">
      <w:pPr>
        <w:jc w:val="center"/>
        <w:rPr>
          <w:rFonts w:ascii="Garamond" w:hAnsi="Garamond"/>
          <w:b/>
          <w:color w:val="244061" w:themeColor="accent1" w:themeShade="80"/>
        </w:rPr>
      </w:pPr>
      <w:r w:rsidRPr="00656B34">
        <w:rPr>
          <w:rFonts w:ascii="Garamond" w:hAnsi="Garamond"/>
          <w:b/>
          <w:color w:val="244061" w:themeColor="accent1" w:themeShade="80"/>
        </w:rPr>
        <w:t>Articolo 2</w:t>
      </w:r>
    </w:p>
    <w:p w14:paraId="406E20EA" w14:textId="77777777" w:rsidR="001F5AD6" w:rsidRPr="00656B34" w:rsidRDefault="001F5AD6" w:rsidP="001F5AD6">
      <w:pPr>
        <w:jc w:val="center"/>
        <w:rPr>
          <w:rFonts w:ascii="Garamond" w:hAnsi="Garamond"/>
          <w:b/>
          <w:color w:val="244061" w:themeColor="accent1" w:themeShade="80"/>
        </w:rPr>
      </w:pPr>
    </w:p>
    <w:p w14:paraId="5BF19749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5E45A309" w14:textId="77777777" w:rsidR="001F5AD6" w:rsidRPr="00656B34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esclusione del concorrente dalla gara;</w:t>
      </w:r>
    </w:p>
    <w:p w14:paraId="308C701B" w14:textId="77777777" w:rsidR="001F5AD6" w:rsidRPr="00656B34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escussione della cauzione di validità dell’offerta;</w:t>
      </w:r>
    </w:p>
    <w:p w14:paraId="16B57B80" w14:textId="77777777" w:rsidR="001F5AD6" w:rsidRPr="00656B34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risoluzione del contratto;</w:t>
      </w:r>
    </w:p>
    <w:p w14:paraId="4B4FA01C" w14:textId="77777777" w:rsidR="001F5AD6" w:rsidRPr="00656B34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escussione della cauzione di buona esecuzione del contratto;</w:t>
      </w:r>
    </w:p>
    <w:p w14:paraId="48BE3E5E" w14:textId="77777777" w:rsidR="001F5AD6" w:rsidRPr="00656B34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esclusione del concorrente dalle gare indette dalla stazione appaltante per 5 anni.</w:t>
      </w:r>
    </w:p>
    <w:p w14:paraId="456B8114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14:paraId="4843A971" w14:textId="77777777" w:rsidR="001F5AD6" w:rsidRPr="00656B34" w:rsidRDefault="001F5AD6" w:rsidP="001F5AD6">
      <w:pPr>
        <w:jc w:val="center"/>
        <w:rPr>
          <w:rFonts w:ascii="Garamond" w:hAnsi="Garamond"/>
          <w:b/>
          <w:color w:val="244061" w:themeColor="accent1" w:themeShade="80"/>
        </w:rPr>
      </w:pPr>
      <w:r w:rsidRPr="00656B34">
        <w:rPr>
          <w:rFonts w:ascii="Garamond" w:hAnsi="Garamond"/>
          <w:b/>
          <w:color w:val="244061" w:themeColor="accent1" w:themeShade="80"/>
        </w:rPr>
        <w:t>Articolo 3</w:t>
      </w:r>
    </w:p>
    <w:p w14:paraId="66C83156" w14:textId="77777777" w:rsidR="001F5AD6" w:rsidRPr="00656B34" w:rsidRDefault="001F5AD6" w:rsidP="001F5AD6">
      <w:pPr>
        <w:jc w:val="center"/>
        <w:rPr>
          <w:rFonts w:ascii="Garamond" w:hAnsi="Garamond"/>
          <w:color w:val="244061" w:themeColor="accent1" w:themeShade="80"/>
        </w:rPr>
      </w:pPr>
    </w:p>
    <w:p w14:paraId="29198F8D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54A4EFDC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14:paraId="5692AA61" w14:textId="77777777" w:rsidR="001F5AD6" w:rsidRPr="00656B34" w:rsidRDefault="001F5AD6" w:rsidP="001F5AD6">
      <w:pPr>
        <w:jc w:val="center"/>
        <w:rPr>
          <w:rFonts w:ascii="Garamond" w:hAnsi="Garamond"/>
          <w:b/>
          <w:color w:val="244061" w:themeColor="accent1" w:themeShade="80"/>
        </w:rPr>
      </w:pPr>
      <w:r w:rsidRPr="00656B34">
        <w:rPr>
          <w:rFonts w:ascii="Garamond" w:hAnsi="Garamond"/>
          <w:b/>
          <w:color w:val="244061" w:themeColor="accent1" w:themeShade="80"/>
        </w:rPr>
        <w:t>Articolo 4</w:t>
      </w:r>
    </w:p>
    <w:p w14:paraId="539F34D0" w14:textId="77777777" w:rsidR="001F5AD6" w:rsidRPr="00656B34" w:rsidRDefault="001F5AD6" w:rsidP="001F5AD6">
      <w:pPr>
        <w:jc w:val="center"/>
        <w:rPr>
          <w:rFonts w:ascii="Garamond" w:hAnsi="Garamond"/>
          <w:color w:val="244061" w:themeColor="accent1" w:themeShade="80"/>
        </w:rPr>
      </w:pPr>
    </w:p>
    <w:p w14:paraId="1DB9E6C8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14:paraId="7FD74A9D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14:paraId="01565F93" w14:textId="77777777" w:rsidR="001F5AD6" w:rsidRPr="00656B34" w:rsidRDefault="001F5AD6" w:rsidP="001F5AD6">
      <w:pPr>
        <w:jc w:val="center"/>
        <w:rPr>
          <w:rFonts w:ascii="Garamond" w:hAnsi="Garamond"/>
          <w:b/>
          <w:color w:val="244061" w:themeColor="accent1" w:themeShade="80"/>
        </w:rPr>
      </w:pPr>
      <w:r w:rsidRPr="00656B34">
        <w:rPr>
          <w:rFonts w:ascii="Garamond" w:hAnsi="Garamond"/>
          <w:b/>
          <w:color w:val="244061" w:themeColor="accent1" w:themeShade="80"/>
        </w:rPr>
        <w:t>Articolo 5</w:t>
      </w:r>
    </w:p>
    <w:p w14:paraId="699D4BAA" w14:textId="77777777" w:rsidR="001F5AD6" w:rsidRPr="00656B34" w:rsidRDefault="001F5AD6" w:rsidP="001F5AD6">
      <w:pPr>
        <w:jc w:val="center"/>
        <w:rPr>
          <w:rFonts w:ascii="Garamond" w:hAnsi="Garamond"/>
          <w:b/>
          <w:color w:val="244061" w:themeColor="accent1" w:themeShade="80"/>
        </w:rPr>
      </w:pPr>
    </w:p>
    <w:p w14:paraId="526C9A9D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2B7466E2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14:paraId="2B9BAA85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14:paraId="0DE96F8F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Luogo e data ………………….</w:t>
      </w:r>
    </w:p>
    <w:p w14:paraId="4F69801D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ab/>
      </w:r>
      <w:r w:rsidRPr="00656B34">
        <w:rPr>
          <w:rFonts w:ascii="Garamond" w:hAnsi="Garamond"/>
          <w:color w:val="244061" w:themeColor="accent1" w:themeShade="80"/>
        </w:rPr>
        <w:tab/>
      </w:r>
      <w:r w:rsidRPr="00656B34">
        <w:rPr>
          <w:rFonts w:ascii="Garamond" w:hAnsi="Garamond"/>
          <w:color w:val="244061" w:themeColor="accent1" w:themeShade="80"/>
        </w:rPr>
        <w:tab/>
      </w:r>
      <w:r w:rsidRPr="00656B34">
        <w:rPr>
          <w:rFonts w:ascii="Garamond" w:hAnsi="Garamond"/>
          <w:color w:val="244061" w:themeColor="accent1" w:themeShade="80"/>
        </w:rPr>
        <w:tab/>
      </w:r>
      <w:r w:rsidRPr="00656B34">
        <w:rPr>
          <w:rFonts w:ascii="Garamond" w:hAnsi="Garamond"/>
          <w:color w:val="244061" w:themeColor="accent1" w:themeShade="80"/>
        </w:rPr>
        <w:tab/>
      </w:r>
      <w:r w:rsidRPr="00656B34">
        <w:rPr>
          <w:rFonts w:ascii="Garamond" w:hAnsi="Garamond"/>
          <w:color w:val="244061" w:themeColor="accent1" w:themeShade="80"/>
        </w:rPr>
        <w:tab/>
      </w:r>
      <w:r w:rsidRPr="00656B34">
        <w:rPr>
          <w:rFonts w:ascii="Garamond" w:hAnsi="Garamond"/>
          <w:color w:val="244061" w:themeColor="accent1" w:themeShade="80"/>
        </w:rPr>
        <w:tab/>
      </w:r>
      <w:r w:rsidRPr="00656B34">
        <w:rPr>
          <w:rFonts w:ascii="Garamond" w:hAnsi="Garamond"/>
          <w:color w:val="244061" w:themeColor="accent1" w:themeShade="80"/>
        </w:rPr>
        <w:tab/>
      </w:r>
      <w:r w:rsidRPr="00656B34">
        <w:rPr>
          <w:rFonts w:ascii="Garamond" w:hAnsi="Garamond"/>
          <w:color w:val="244061" w:themeColor="accent1" w:themeShade="80"/>
        </w:rPr>
        <w:tab/>
      </w:r>
      <w:r w:rsidRPr="00656B34">
        <w:rPr>
          <w:rFonts w:ascii="Garamond" w:hAnsi="Garamond"/>
          <w:color w:val="244061" w:themeColor="accent1" w:themeShade="80"/>
        </w:rPr>
        <w:tab/>
        <w:t>Per la ditta:</w:t>
      </w:r>
    </w:p>
    <w:p w14:paraId="1D64B719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14:paraId="3BD0F666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14:paraId="5A89895C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14:paraId="6967743F" w14:textId="77777777"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14:paraId="40E38F52" w14:textId="77777777" w:rsidR="001F5AD6" w:rsidRPr="00656B34" w:rsidRDefault="001F5AD6" w:rsidP="001F5AD6">
      <w:pPr>
        <w:jc w:val="both"/>
        <w:rPr>
          <w:rFonts w:asciiTheme="majorHAnsi" w:eastAsiaTheme="majorEastAsia" w:hAnsiTheme="majorHAnsi" w:cstheme="majorBidi"/>
          <w:b/>
          <w:bCs/>
          <w:color w:val="244061" w:themeColor="accent1" w:themeShade="80"/>
          <w:sz w:val="18"/>
          <w:szCs w:val="18"/>
          <w:lang w:eastAsia="ar-SA"/>
        </w:rPr>
      </w:pPr>
    </w:p>
    <w:p w14:paraId="74FE0EFC" w14:textId="77777777" w:rsidR="00F61C18" w:rsidRPr="00656B34" w:rsidRDefault="00F61C18" w:rsidP="001F5AD6">
      <w:pPr>
        <w:rPr>
          <w:color w:val="244061" w:themeColor="accent1" w:themeShade="80"/>
        </w:rPr>
      </w:pPr>
    </w:p>
    <w:sectPr w:rsidR="00F61C18" w:rsidRPr="00656B34" w:rsidSect="001878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6930183">
    <w:abstractNumId w:val="1"/>
  </w:num>
  <w:num w:numId="2" w16cid:durableId="1397505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CA8"/>
    <w:rsid w:val="000D7ED5"/>
    <w:rsid w:val="0016741C"/>
    <w:rsid w:val="00187872"/>
    <w:rsid w:val="001919DD"/>
    <w:rsid w:val="001C0B4F"/>
    <w:rsid w:val="001F5AD6"/>
    <w:rsid w:val="0025657D"/>
    <w:rsid w:val="005E4CA8"/>
    <w:rsid w:val="00656B34"/>
    <w:rsid w:val="007C5F33"/>
    <w:rsid w:val="009014FF"/>
    <w:rsid w:val="00D703E7"/>
    <w:rsid w:val="00F41D54"/>
    <w:rsid w:val="00F6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9FD6F"/>
  <w15:docId w15:val="{E6255B4F-F637-4F05-B159-AAC5E367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5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client 01</cp:lastModifiedBy>
  <cp:revision>9</cp:revision>
  <dcterms:created xsi:type="dcterms:W3CDTF">2023-09-25T13:35:00Z</dcterms:created>
  <dcterms:modified xsi:type="dcterms:W3CDTF">2023-09-26T10:24:00Z</dcterms:modified>
</cp:coreProperties>
</file>